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individuals and their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affect a single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business law does not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small-business owner means that you will never have to take on the role of a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Ways to raise additional capital so that a business can grow is not a legal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management has to explicitly inform employees of their rights is a legal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legal questions involved when choosing an appropriate business organizational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owner is likely to face legal questions when determining ways to reduce business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the law, it is important to understand its origins.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judges are obligated to follow the precedents established within their jurisdictions.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for the laws that are familiar to most of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sets forth a government’s general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the ordinances passed by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Each state must adopt the uniform laws drafted by the National Conference of Commissioners on Uniform State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Statutory law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county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enacted by Congress become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apply the law to a present set of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interpret what the rulemakers meant when a law was passed.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does not include local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spells out the rights and duties that exist between persons.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 has to do with wrongs committed against the public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a civil law system is codified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governs relations among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Overview, Inc., is a corporation engaged in the business of compiling, analyzing, and marketing data. With respect to the firm’s officers, there is a link between the law and Overview’s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manager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Elroy and Fern are involved in a </w:t>
            </w:r>
            <w:r>
              <w:rPr>
                <w:rStyle w:val="DefaultParagraphFont"/>
                <w:rFonts w:ascii="Times New Roman" w:eastAsia="Times New Roman" w:hAnsi="Times New Roman" w:cs="Times New Roman"/>
                <w:b w:val="0"/>
                <w:bCs w:val="0"/>
                <w:i/>
                <w:iCs/>
                <w:smallCaps w:val="0"/>
                <w:color w:val="000000"/>
                <w:sz w:val="22"/>
                <w:szCs w:val="22"/>
                <w:bdr w:val="nil"/>
                <w:rtl w:val="0"/>
              </w:rPr>
              <w:t>class 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lawsuit</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mock trial conducted as part of a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actively involving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moot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Securities and Exchange Commission (a federal administrative agency) issues a rule. The Finance Institutions Association (a private organization) issues instructions. Valley Bank posts a memo with orders for its employees. Willy texts a co-worker about a recent news story.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state department of environmental quality issues a new rule, a county commission approves a new property tax measure, and students at a public state law school publish their recent legal research. Sources of law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state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Much of American law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English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Spanish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civil law of the Greeks.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Chinese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Bonnie applies common law rules. These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base its decision. The court can consider,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Myra and Nick cannot resolve their dispute amicably, then it may become necessary to bring a </w:t>
            </w:r>
            <w:r>
              <w:rPr>
                <w:rStyle w:val="DefaultParagraphFont"/>
                <w:rFonts w:ascii="Times New Roman" w:eastAsia="Times New Roman" w:hAnsi="Times New Roman" w:cs="Times New Roman"/>
                <w:b w:val="0"/>
                <w:bCs w:val="0"/>
                <w:i/>
                <w:iCs/>
                <w:smallCaps w:val="0"/>
                <w:color w:val="000000"/>
                <w:sz w:val="22"/>
                <w:szCs w:val="22"/>
                <w:bdr w:val="nil"/>
                <w:rtl w:val="0"/>
              </w:rPr>
              <w:t>lawsuit</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not do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regulation applied to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disregard the </w:t>
                  </w:r>
                  <w:r>
                    <w:rPr>
                      <w:rStyle w:val="DefaultParagraphFont"/>
                      <w:rFonts w:ascii="Times New Roman" w:eastAsia="Times New Roman" w:hAnsi="Times New Roman" w:cs="Times New Roman"/>
                      <w:b w:val="0"/>
                      <w:bCs w:val="0"/>
                      <w:i/>
                      <w:iCs/>
                      <w:smallCaps w:val="0"/>
                      <w:color w:val="000000"/>
                      <w:sz w:val="22"/>
                      <w:szCs w:val="22"/>
                      <w:bdr w:val="nil"/>
                      <w:rtl w:val="0"/>
                    </w:rPr>
                    <w:t>Benny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means to enforce a right or compensate for a wrong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compensate for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court has a certain jurisdiction. </w:t>
            </w:r>
            <w:r>
              <w:rPr>
                <w:rStyle w:val="DefaultParagraphFont"/>
                <w:rFonts w:ascii="Times New Roman" w:eastAsia="Times New Roman" w:hAnsi="Times New Roman" w:cs="Times New Roman"/>
                <w:b w:val="0"/>
                <w:bCs w:val="0"/>
                <w:i/>
                <w:iCs/>
                <w:smallCaps w:val="0"/>
                <w:color w:val="000000"/>
                <w:sz w:val="22"/>
                <w:szCs w:val="22"/>
                <w:bdr w:val="nil"/>
                <w:rtl w:val="0"/>
              </w:rPr>
              <w:t>Jurisdiction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Klaus, Lucy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not do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Guy, Holly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not do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for a harm suffered.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King’s Court of England,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provision in the California state constitution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provisions apply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constitution is supreme within the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supreme.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proceedings.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edicts.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Montana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Montana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Product Safety Commission is a government agency that issues rules, orders, and decisions. The Ohio state legislature enacts statutes. The Wayne County Board and the Midford City Council enact ordinances. 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a county and a 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has been adopted, at least in part,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Delaware Environmental Quality Agency, and the U.S. Bureau of Land Management issue regulations. These rules constitute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state, or federal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has to do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iCs/>
                <w:smallCaps w:val="0"/>
                <w:color w:val="000000"/>
                <w:sz w:val="22"/>
                <w:szCs w:val="22"/>
                <w:bdr w:val="nil"/>
                <w:rtl w:val="0"/>
              </w:rPr>
              <w:t>National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pertains to a particular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has an extraterritorial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law that is applied within a nation’s courts, including international law and the law of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 as opposed to state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benefit from international trade, individual nations agree to be governed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laws of other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must accommodate the need of each nation to be the final authority 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own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Rights Council, a nonprofit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dispute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Corporation and Digital Enterprises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this doctrine?  What does this doctrine have to do with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 01: Introduction to the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Introduction to the Law</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